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30"/>
        <w:gridCol w:w="2883"/>
        <w:gridCol w:w="621"/>
        <w:gridCol w:w="1387"/>
        <w:gridCol w:w="15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534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泰安古河机械有限公司</w:t>
            </w:r>
          </w:p>
        </w:tc>
        <w:tc>
          <w:tcPr>
            <w:tcW w:w="138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353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中外合资企业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松户茂夫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地址及邮政编码</w:t>
            </w:r>
          </w:p>
        </w:tc>
        <w:tc>
          <w:tcPr>
            <w:tcW w:w="6427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泰安高新区中天门大街1118号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电话及传真</w:t>
            </w:r>
          </w:p>
        </w:tc>
        <w:tc>
          <w:tcPr>
            <w:tcW w:w="2913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8933675</w:t>
            </w:r>
          </w:p>
        </w:tc>
        <w:tc>
          <w:tcPr>
            <w:tcW w:w="2008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9" w:type="dxa"/>
            <w:gridSpan w:val="6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排放有毒有害物质</w:t>
            </w:r>
          </w:p>
        </w:tc>
        <w:tc>
          <w:tcPr>
            <w:tcW w:w="2913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甲苯</w:t>
            </w:r>
          </w:p>
        </w:tc>
        <w:tc>
          <w:tcPr>
            <w:tcW w:w="3514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022</w:t>
            </w:r>
            <w:r>
              <w:rPr>
                <w:szCs w:val="21"/>
              </w:rPr>
              <w:t>t/a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011</w:t>
            </w:r>
            <w:r>
              <w:rPr>
                <w:szCs w:val="21"/>
              </w:rPr>
              <w:t>kg/h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0.2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3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二甲苯</w:t>
            </w:r>
          </w:p>
        </w:tc>
        <w:tc>
          <w:tcPr>
            <w:tcW w:w="3514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276</w:t>
            </w:r>
            <w:r>
              <w:rPr>
                <w:szCs w:val="21"/>
              </w:rPr>
              <w:t>t/a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138</w:t>
            </w:r>
            <w:r>
              <w:rPr>
                <w:szCs w:val="21"/>
              </w:rPr>
              <w:t>kg/h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2.4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2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3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VOCS</w:t>
            </w:r>
          </w:p>
        </w:tc>
        <w:tc>
          <w:tcPr>
            <w:tcW w:w="3514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609</w:t>
            </w:r>
            <w:r>
              <w:rPr>
                <w:szCs w:val="21"/>
              </w:rPr>
              <w:t>t/a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304</w:t>
            </w:r>
            <w:r>
              <w:rPr>
                <w:szCs w:val="21"/>
              </w:rPr>
              <w:t>kg/h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5.3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29" w:type="dxa"/>
            <w:gridSpan w:val="6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危险废物名称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产生位置</w:t>
            </w:r>
          </w:p>
        </w:tc>
        <w:tc>
          <w:tcPr>
            <w:tcW w:w="3514" w:type="dxa"/>
            <w:gridSpan w:val="3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处置方式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废油漆桶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油漆拆包</w:t>
            </w:r>
          </w:p>
        </w:tc>
        <w:tc>
          <w:tcPr>
            <w:tcW w:w="3514" w:type="dxa"/>
            <w:gridSpan w:val="3"/>
            <w:vMerge w:val="restart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委托</w:t>
            </w:r>
            <w:r>
              <w:rPr>
                <w:rFonts w:hint="eastAsia" w:ascii="Times New Roman" w:hAnsi="Times New Roman"/>
                <w:sz w:val="21"/>
              </w:rPr>
              <w:t>山东中再生环境服务有限公司</w:t>
            </w:r>
            <w:r>
              <w:rPr>
                <w:rFonts w:ascii="Times New Roman" w:hAnsi="Times New Roman"/>
                <w:sz w:val="21"/>
              </w:rPr>
              <w:t>处理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</w:rPr>
              <w:t>漆渣</w:t>
            </w:r>
            <w:r>
              <w:rPr>
                <w:rFonts w:hint="eastAsia"/>
                <w:lang w:val="en-US" w:eastAsia="zh-CN"/>
              </w:rPr>
              <w:t>和污泥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/>
                <w:sz w:val="21"/>
              </w:rPr>
              <w:t>喷漆废水处理</w:t>
            </w:r>
          </w:p>
        </w:tc>
        <w:tc>
          <w:tcPr>
            <w:tcW w:w="3514" w:type="dxa"/>
            <w:gridSpan w:val="3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bCs/>
                <w:color w:val="000000"/>
              </w:rPr>
              <w:t>废</w:t>
            </w:r>
            <w:r>
              <w:rPr>
                <w:rFonts w:hint="eastAsia"/>
                <w:bCs/>
                <w:color w:val="000000"/>
              </w:rPr>
              <w:t>矿物油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color w:val="000000"/>
              </w:rPr>
              <w:t>机加工、</w:t>
            </w:r>
            <w:r>
              <w:t>设备维修</w:t>
            </w:r>
          </w:p>
        </w:tc>
        <w:tc>
          <w:tcPr>
            <w:tcW w:w="3514" w:type="dxa"/>
            <w:gridSpan w:val="3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废过滤棉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喷漆废气处理</w:t>
            </w:r>
          </w:p>
        </w:tc>
        <w:tc>
          <w:tcPr>
            <w:tcW w:w="3514" w:type="dxa"/>
            <w:gridSpan w:val="3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32" w:type="dxa"/>
            <w:gridSpan w:val="2"/>
            <w:tcBorders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废活性炭</w:t>
            </w:r>
          </w:p>
        </w:tc>
        <w:tc>
          <w:tcPr>
            <w:tcW w:w="2883" w:type="dxa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喷漆废气处理</w:t>
            </w:r>
          </w:p>
        </w:tc>
        <w:tc>
          <w:tcPr>
            <w:tcW w:w="3514" w:type="dxa"/>
            <w:gridSpan w:val="3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29" w:type="dxa"/>
            <w:gridSpan w:val="6"/>
            <w:tcBorders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29" w:type="dxa"/>
            <w:gridSpan w:val="6"/>
            <w:tcBorders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风险防控措施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29" w:type="dxa"/>
            <w:gridSpan w:val="6"/>
            <w:tcBorders/>
            <w:noWrap/>
            <w:vAlign w:val="center"/>
          </w:tcPr>
          <w:p>
            <w:pPr>
              <w:spacing w:line="360" w:lineRule="auto"/>
              <w:ind w:firstLine="420" w:firstLineChars="200"/>
            </w:pPr>
            <w:r>
              <w:t>1、现有工程周边200m范围内无村庄、学校、医院等敏感点，厂区总平面布置符合防范事故要求，有应急救援设施及救援通道。</w:t>
            </w:r>
          </w:p>
          <w:p>
            <w:pPr>
              <w:spacing w:line="360" w:lineRule="auto"/>
              <w:ind w:firstLine="420" w:firstLineChars="200"/>
            </w:pPr>
            <w:r>
              <w:t>2、严格按规范进行设计、施工，电气、电讯等方面符合相关规范要求。</w:t>
            </w:r>
          </w:p>
          <w:p>
            <w:pPr>
              <w:spacing w:line="360" w:lineRule="auto"/>
              <w:ind w:firstLine="420" w:firstLineChars="200"/>
            </w:pPr>
            <w:r>
              <w:t>3、按规定设置消防给排水系统、消防器材等。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t>4、应急管理制度完善。</w:t>
            </w:r>
          </w:p>
          <w:p>
            <w:pPr>
              <w:spacing w:line="480" w:lineRule="exact"/>
              <w:ind w:firstLine="420" w:firstLineChars="200"/>
            </w:pPr>
            <w:r>
              <w:rPr>
                <w:rFonts w:hint="eastAsia"/>
                <w:lang w:val="en-US" w:eastAsia="zh-CN"/>
              </w:rPr>
              <w:t>5、</w:t>
            </w:r>
            <w:r>
              <w:t>对油漆储存区、固化剂储存区、稀释剂储存区均设置围堰，围堰高度约10cm，收集油漆桶破裂泄漏的油漆、固化剂和稀释剂，利于泄漏液体的回收，防止泄漏液体直接排向外环境。项目在储存油漆、固化剂和稀释剂等的原料库设置明显的贴有易燃区域标示的标志。</w:t>
            </w:r>
          </w:p>
          <w:p>
            <w:pPr>
              <w:spacing w:line="480" w:lineRule="exact"/>
              <w:ind w:firstLine="420" w:firstLineChars="200"/>
            </w:pPr>
            <w:r>
              <w:rPr>
                <w:rFonts w:hint="eastAsia"/>
                <w:lang w:val="en-US" w:eastAsia="zh-CN"/>
              </w:rPr>
              <w:t>6</w:t>
            </w:r>
            <w:r>
              <w:t>、本项目的总平面布置及建筑物之间的防火间距按《建筑防火设计规范》进行设计，总图布置符合《工业企业总平面设计规范》。</w:t>
            </w:r>
          </w:p>
          <w:p>
            <w:pPr>
              <w:spacing w:line="480" w:lineRule="exact"/>
              <w:ind w:firstLine="420" w:firstLineChars="200"/>
            </w:pPr>
            <w:r>
              <w:rPr>
                <w:rFonts w:hint="eastAsia"/>
                <w:lang w:val="en-US" w:eastAsia="zh-CN"/>
              </w:rPr>
              <w:t>7</w:t>
            </w:r>
            <w:r>
              <w:t>、定期检查仓库的通风设施。</w:t>
            </w:r>
          </w:p>
          <w:p>
            <w:pPr>
              <w:adjustRightInd w:val="0"/>
              <w:snapToGrid w:val="0"/>
              <w:spacing w:line="480" w:lineRule="exact"/>
              <w:ind w:left="13" w:leftChars="6" w:right="105" w:rightChars="50" w:firstLine="378" w:firstLineChars="180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t>、装置区内防爆环境电气设备选用防爆型电气设备。</w:t>
            </w:r>
          </w:p>
          <w:p>
            <w:pPr>
              <w:adjustRightInd w:val="0"/>
              <w:snapToGrid w:val="0"/>
              <w:spacing w:line="480" w:lineRule="exact"/>
              <w:ind w:left="13" w:leftChars="6" w:right="105" w:rightChars="50" w:firstLine="378" w:firstLineChars="18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t>、根据企业特点，按突发环境事件的可控性、严重程度和影响范围，</w:t>
            </w:r>
            <w:r>
              <w:rPr>
                <w:rFonts w:hint="eastAsia"/>
                <w:lang w:val="en-US" w:eastAsia="zh-CN"/>
              </w:rPr>
              <w:t>编制了突发环境事件应急预案。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519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39AE"/>
    <w:rsid w:val="209939AE"/>
    <w:rsid w:val="36B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 w:line="240" w:lineRule="auto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4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2019-04-16T00:52:00Z</dcterms:created>
  <dc:creator>汇式</dc:creator>
  <cp:lastModifiedBy>汇式</cp:lastModifiedBy>
  <dcterms:modified xsi:type="dcterms:W3CDTF">2019-04-16T01:31:38Z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